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5" w:rsidRDefault="000526F5" w:rsidP="00C65A8C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5524"/>
        <w:gridCol w:w="8079"/>
      </w:tblGrid>
      <w:tr w:rsidR="000526F5" w:rsidRPr="008745FE" w:rsidTr="003F6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526F5" w:rsidRPr="008745FE" w:rsidRDefault="000526F5" w:rsidP="000526F5">
            <w:pPr>
              <w:jc w:val="center"/>
              <w:rPr>
                <w:rFonts w:cstheme="minorHAnsi"/>
              </w:rPr>
            </w:pPr>
            <w:r w:rsidRPr="008745FE">
              <w:rPr>
                <w:rFonts w:cstheme="minorHAnsi"/>
              </w:rPr>
              <w:t>Texte</w:t>
            </w:r>
          </w:p>
        </w:tc>
        <w:tc>
          <w:tcPr>
            <w:tcW w:w="8079" w:type="dxa"/>
            <w:vAlign w:val="center"/>
          </w:tcPr>
          <w:p w:rsidR="000526F5" w:rsidRPr="008745FE" w:rsidRDefault="000526F5" w:rsidP="00874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Commentaire</w:t>
            </w:r>
          </w:p>
        </w:tc>
      </w:tr>
      <w:tr w:rsidR="000526F5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526F5" w:rsidRPr="000526F5" w:rsidRDefault="000526F5" w:rsidP="008745FE">
            <w:pPr>
              <w:autoSpaceDE w:val="0"/>
              <w:autoSpaceDN w:val="0"/>
              <w:adjustRightInd w:val="0"/>
              <w:jc w:val="left"/>
              <w:rPr>
                <w:rFonts w:cstheme="minorHAnsi"/>
                <w:b w:val="0"/>
                <w:color w:val="365F91"/>
              </w:rPr>
            </w:pPr>
            <w:r w:rsidRPr="000526F5">
              <w:rPr>
                <w:rFonts w:cstheme="minorHAnsi"/>
                <w:b w:val="0"/>
                <w:color w:val="365F91"/>
              </w:rPr>
              <w:t xml:space="preserve">1.4. DECISION </w:t>
            </w:r>
          </w:p>
          <w:p w:rsidR="005C2991" w:rsidRDefault="005C2991" w:rsidP="008745FE">
            <w:pPr>
              <w:jc w:val="left"/>
              <w:rPr>
                <w:rFonts w:cstheme="minorHAnsi"/>
                <w:b w:val="0"/>
                <w:bCs w:val="0"/>
                <w:color w:val="000000"/>
              </w:rPr>
            </w:pPr>
          </w:p>
          <w:p w:rsidR="000526F5" w:rsidRPr="008745FE" w:rsidRDefault="000526F5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  <w:bCs w:val="0"/>
                <w:color w:val="000000"/>
              </w:rPr>
              <w:t xml:space="preserve">Le </w:t>
            </w:r>
            <w:r w:rsidRPr="008745FE">
              <w:rPr>
                <w:rFonts w:cstheme="minorHAnsi"/>
                <w:b w:val="0"/>
                <w:color w:val="000000"/>
              </w:rPr>
              <w:t xml:space="preserve">NIR </w:t>
            </w:r>
            <w:r w:rsidRPr="008745FE">
              <w:rPr>
                <w:rFonts w:cstheme="minorHAnsi"/>
                <w:b w:val="0"/>
                <w:bCs w:val="0"/>
                <w:color w:val="000000"/>
              </w:rPr>
              <w:t xml:space="preserve">1 (ou numéro de sécurité sociale) </w:t>
            </w:r>
            <w:r w:rsidRPr="008745FE">
              <w:rPr>
                <w:rFonts w:cstheme="minorHAnsi"/>
                <w:b w:val="0"/>
                <w:color w:val="000000"/>
              </w:rPr>
              <w:t xml:space="preserve">devient l'INS </w:t>
            </w:r>
            <w:r w:rsidRPr="008745FE">
              <w:rPr>
                <w:rFonts w:cstheme="minorHAnsi"/>
                <w:b w:val="0"/>
                <w:bCs w:val="0"/>
                <w:color w:val="000000"/>
              </w:rPr>
              <w:t>(Identifiant National de Santé</w:t>
            </w:r>
            <w:r w:rsidRPr="008745FE">
              <w:rPr>
                <w:rFonts w:cstheme="minorHAnsi"/>
                <w:b w:val="0"/>
              </w:rPr>
              <w:t xml:space="preserve"> ), par le décret n°2017-412 du 27 mars 2017 2 après avis de la CNIL 3 </w:t>
            </w:r>
            <w:r w:rsidRPr="008745FE">
              <w:rPr>
                <w:rFonts w:cstheme="minorHAnsi"/>
                <w:b w:val="0"/>
              </w:rPr>
              <w:t xml:space="preserve"> numéro </w:t>
            </w:r>
            <w:r w:rsidRPr="008745FE">
              <w:rPr>
                <w:rFonts w:cstheme="minorHAnsi"/>
                <w:b w:val="0"/>
                <w:bCs w:val="0"/>
              </w:rPr>
              <w:t xml:space="preserve">unique </w:t>
            </w:r>
            <w:r w:rsidRPr="008745FE">
              <w:rPr>
                <w:rFonts w:cstheme="minorHAnsi"/>
                <w:b w:val="0"/>
              </w:rPr>
              <w:t>d’identification de santé.</w:t>
            </w:r>
          </w:p>
        </w:tc>
        <w:tc>
          <w:tcPr>
            <w:tcW w:w="8079" w:type="dxa"/>
            <w:vAlign w:val="center"/>
          </w:tcPr>
          <w:p w:rsidR="000526F5" w:rsidRPr="008745FE" w:rsidRDefault="000526F5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745FE">
              <w:rPr>
                <w:rFonts w:cstheme="minorHAnsi"/>
                <w:i/>
              </w:rPr>
              <w:t>(des pb. de numérotation des § de cette section et le document)</w:t>
            </w:r>
          </w:p>
          <w:p w:rsidR="008745FE" w:rsidRDefault="008745FE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526F5" w:rsidRDefault="000526F5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Attention à ce</w:t>
            </w:r>
            <w:r w:rsidR="00F8177B" w:rsidRPr="008745FE">
              <w:rPr>
                <w:rFonts w:cstheme="minorHAnsi"/>
              </w:rPr>
              <w:t>tte formulation :</w:t>
            </w:r>
            <w:r w:rsidRPr="008745FE">
              <w:rPr>
                <w:rFonts w:cstheme="minorHAnsi"/>
              </w:rPr>
              <w:t xml:space="preserve"> on ne peut pas dire que le NIR « devient l’INS », c’est </w:t>
            </w:r>
            <w:r w:rsidR="00F8177B" w:rsidRPr="008745FE">
              <w:rPr>
                <w:rFonts w:cstheme="minorHAnsi"/>
              </w:rPr>
              <w:t xml:space="preserve">plutôt </w:t>
            </w:r>
            <w:r w:rsidRPr="008745FE">
              <w:rPr>
                <w:rFonts w:cstheme="minorHAnsi"/>
              </w:rPr>
              <w:t xml:space="preserve">l’INS qui va prendre </w:t>
            </w:r>
            <w:r w:rsidR="00F8177B" w:rsidRPr="008745FE">
              <w:rPr>
                <w:rFonts w:cstheme="minorHAnsi"/>
              </w:rPr>
              <w:t>(</w:t>
            </w:r>
            <w:r w:rsidRPr="008745FE">
              <w:rPr>
                <w:rFonts w:cstheme="minorHAnsi"/>
              </w:rPr>
              <w:t xml:space="preserve">dans la </w:t>
            </w:r>
            <w:r w:rsidR="008745FE">
              <w:rPr>
                <w:rFonts w:cstheme="minorHAnsi"/>
              </w:rPr>
              <w:t xml:space="preserve">très grande majorité </w:t>
            </w:r>
            <w:r w:rsidRPr="008745FE">
              <w:rPr>
                <w:rFonts w:cstheme="minorHAnsi"/>
              </w:rPr>
              <w:t>des cas</w:t>
            </w:r>
            <w:r w:rsidR="00F8177B" w:rsidRPr="008745FE">
              <w:rPr>
                <w:rFonts w:cstheme="minorHAnsi"/>
              </w:rPr>
              <w:t>)</w:t>
            </w:r>
            <w:r w:rsidRPr="008745FE">
              <w:rPr>
                <w:rFonts w:cstheme="minorHAnsi"/>
              </w:rPr>
              <w:t xml:space="preserve"> la valeur du NIR.</w:t>
            </w:r>
          </w:p>
          <w:p w:rsidR="00BD2730" w:rsidRPr="008745FE" w:rsidRDefault="00BD2730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D2730" w:rsidRDefault="00F8177B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C</w:t>
            </w:r>
            <w:r w:rsidR="000526F5" w:rsidRPr="008745FE">
              <w:rPr>
                <w:rFonts w:cstheme="minorHAnsi"/>
              </w:rPr>
              <w:t xml:space="preserve">es 2 objets </w:t>
            </w:r>
            <w:r w:rsidR="00050FAE" w:rsidRPr="008745FE">
              <w:rPr>
                <w:rFonts w:cstheme="minorHAnsi"/>
              </w:rPr>
              <w:t xml:space="preserve">(INS et NIR) </w:t>
            </w:r>
            <w:r w:rsidR="000526F5" w:rsidRPr="008745FE">
              <w:rPr>
                <w:rFonts w:cstheme="minorHAnsi"/>
              </w:rPr>
              <w:t>seront toujours présents dans les SI de santé.</w:t>
            </w:r>
          </w:p>
          <w:p w:rsidR="00F8177B" w:rsidRPr="008745FE" w:rsidRDefault="00F8177B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 xml:space="preserve">Le référentiel propose une </w:t>
            </w:r>
            <w:r w:rsidR="00BD2730">
              <w:rPr>
                <w:rFonts w:cstheme="minorHAnsi"/>
              </w:rPr>
              <w:t xml:space="preserve">bonne </w:t>
            </w:r>
            <w:r w:rsidRPr="008745FE">
              <w:rPr>
                <w:rFonts w:cstheme="minorHAnsi"/>
              </w:rPr>
              <w:t>définition des termes INS (pour identifier les données de santé) et NIR (pour les autres usages</w:t>
            </w:r>
            <w:r w:rsidR="00BD2730">
              <w:rPr>
                <w:rFonts w:cstheme="minorHAnsi"/>
              </w:rPr>
              <w:t> : remboursement…</w:t>
            </w:r>
            <w:r w:rsidRPr="008745FE">
              <w:rPr>
                <w:rFonts w:cstheme="minorHAnsi"/>
              </w:rPr>
              <w:t>).</w:t>
            </w:r>
          </w:p>
        </w:tc>
      </w:tr>
      <w:tr w:rsidR="00F8177B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F8177B" w:rsidRPr="008745FE" w:rsidRDefault="00F8177B" w:rsidP="005C2991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  <w:bCs w:val="0"/>
                <w:color w:val="365F91"/>
              </w:rPr>
              <w:t>1.6. SITUATIONS D’UTILISATION</w:t>
            </w:r>
          </w:p>
        </w:tc>
        <w:tc>
          <w:tcPr>
            <w:tcW w:w="8079" w:type="dxa"/>
            <w:vAlign w:val="center"/>
          </w:tcPr>
          <w:p w:rsidR="00F8177B" w:rsidRDefault="00F8177B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Le référentiel pourrait utilement rappeler (informatif) que le cadre juridique de l’identification des patients ne se limite pas au décret INS.</w:t>
            </w:r>
            <w:r w:rsidR="00050FAE" w:rsidRPr="008745FE">
              <w:rPr>
                <w:rFonts w:cstheme="minorHAnsi"/>
              </w:rPr>
              <w:t xml:space="preserve"> </w:t>
            </w:r>
            <w:r w:rsidRPr="008745FE">
              <w:rPr>
                <w:rFonts w:cstheme="minorHAnsi"/>
              </w:rPr>
              <w:t>Par exemple, dans le cadre des GHT, l’unicité de l’identification des patients est également imposée.</w:t>
            </w:r>
          </w:p>
          <w:p w:rsidR="005C2991" w:rsidRPr="008745FE" w:rsidRDefault="005C2991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8177B" w:rsidRPr="008745FE" w:rsidRDefault="00F8177B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745FE">
              <w:rPr>
                <w:rFonts w:cstheme="minorHAnsi"/>
                <w:i/>
              </w:rPr>
              <w:t>NB : ce pourrait être également repris dans des documents d’accompagnement du référentiel.</w:t>
            </w:r>
          </w:p>
        </w:tc>
      </w:tr>
      <w:tr w:rsidR="000526F5" w:rsidRPr="005C2991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526F5" w:rsidRPr="000526F5" w:rsidRDefault="000526F5" w:rsidP="008745FE">
            <w:pPr>
              <w:autoSpaceDE w:val="0"/>
              <w:autoSpaceDN w:val="0"/>
              <w:adjustRightInd w:val="0"/>
              <w:jc w:val="left"/>
              <w:rPr>
                <w:rFonts w:cstheme="minorHAnsi"/>
                <w:b w:val="0"/>
                <w:color w:val="000000"/>
              </w:rPr>
            </w:pPr>
            <w:r w:rsidRPr="000526F5">
              <w:rPr>
                <w:rFonts w:cstheme="minorHAnsi"/>
                <w:b w:val="0"/>
                <w:color w:val="365F91"/>
              </w:rPr>
              <w:t xml:space="preserve">1.7.1. Pour les professionnels de soins </w:t>
            </w:r>
          </w:p>
          <w:p w:rsidR="000526F5" w:rsidRPr="000526F5" w:rsidRDefault="000526F5" w:rsidP="008745FE">
            <w:pPr>
              <w:autoSpaceDE w:val="0"/>
              <w:autoSpaceDN w:val="0"/>
              <w:adjustRightInd w:val="0"/>
              <w:jc w:val="left"/>
              <w:rPr>
                <w:rFonts w:cstheme="minorHAnsi"/>
                <w:b w:val="0"/>
                <w:color w:val="000000"/>
              </w:rPr>
            </w:pPr>
            <w:r w:rsidRPr="000526F5">
              <w:rPr>
                <w:rFonts w:cstheme="minorHAnsi"/>
                <w:b w:val="0"/>
                <w:color w:val="000000"/>
              </w:rPr>
              <w:t xml:space="preserve">Accès : </w:t>
            </w:r>
          </w:p>
          <w:p w:rsidR="000526F5" w:rsidRPr="005C2991" w:rsidRDefault="000526F5" w:rsidP="005C2991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9"/>
              <w:ind w:left="357" w:hanging="357"/>
              <w:jc w:val="left"/>
              <w:rPr>
                <w:rFonts w:cstheme="minorHAnsi"/>
                <w:b w:val="0"/>
                <w:color w:val="000000"/>
              </w:rPr>
            </w:pPr>
            <w:r w:rsidRPr="005C2991">
              <w:rPr>
                <w:rFonts w:cstheme="minorHAnsi"/>
                <w:b w:val="0"/>
                <w:color w:val="000000"/>
              </w:rPr>
              <w:t xml:space="preserve">A partir de l’attestation de droit papier délivrée par l’assurance maladie. </w:t>
            </w:r>
          </w:p>
          <w:p w:rsidR="000526F5" w:rsidRPr="005C2991" w:rsidRDefault="000526F5" w:rsidP="005C2991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9"/>
              <w:ind w:left="357" w:hanging="357"/>
              <w:jc w:val="left"/>
              <w:rPr>
                <w:rFonts w:cstheme="minorHAnsi"/>
                <w:b w:val="0"/>
                <w:color w:val="000000"/>
              </w:rPr>
            </w:pPr>
            <w:r w:rsidRPr="005C2991">
              <w:rPr>
                <w:rFonts w:cstheme="minorHAnsi"/>
                <w:b w:val="0"/>
                <w:color w:val="000000"/>
              </w:rPr>
              <w:t xml:space="preserve">Par lecture électronique de la carte vitale des assurés : 77% des usagers. </w:t>
            </w:r>
          </w:p>
          <w:p w:rsidR="000526F5" w:rsidRPr="005C2991" w:rsidRDefault="000526F5" w:rsidP="005C299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cstheme="minorHAnsi"/>
                <w:b w:val="0"/>
              </w:rPr>
            </w:pPr>
            <w:r w:rsidRPr="005C2991">
              <w:rPr>
                <w:rFonts w:cstheme="minorHAnsi"/>
                <w:b w:val="0"/>
                <w:color w:val="000000"/>
              </w:rPr>
              <w:t xml:space="preserve">- Pour les personnes ne disposant pas de NIR, ou si carte vitale inaccessible, ou si traits d’identification différents : utilisation du numéro identifiant d'attente (NIA) comme INS, via un téléservice INS de la CNAM de recherche et de vérification de l’identifiant de santé. </w:t>
            </w:r>
          </w:p>
        </w:tc>
        <w:tc>
          <w:tcPr>
            <w:tcW w:w="8079" w:type="dxa"/>
            <w:vAlign w:val="center"/>
          </w:tcPr>
          <w:p w:rsidR="00935CED" w:rsidRPr="005C2991" w:rsidRDefault="00935CED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91">
              <w:rPr>
                <w:rFonts w:cstheme="minorHAnsi"/>
              </w:rPr>
              <w:t xml:space="preserve">Les différentes modalités </w:t>
            </w:r>
            <w:r w:rsidR="00050FAE" w:rsidRPr="005C2991">
              <w:rPr>
                <w:rFonts w:cstheme="minorHAnsi"/>
              </w:rPr>
              <w:t xml:space="preserve">évoquées pour la </w:t>
            </w:r>
            <w:r w:rsidRPr="005C2991">
              <w:rPr>
                <w:rFonts w:cstheme="minorHAnsi"/>
              </w:rPr>
              <w:t xml:space="preserve">récupération du </w:t>
            </w:r>
            <w:r w:rsidR="00F8177B" w:rsidRPr="005C2991">
              <w:rPr>
                <w:rFonts w:cstheme="minorHAnsi"/>
              </w:rPr>
              <w:t>« </w:t>
            </w:r>
            <w:r w:rsidRPr="005C2991">
              <w:rPr>
                <w:rFonts w:cstheme="minorHAnsi"/>
              </w:rPr>
              <w:t xml:space="preserve">NIR </w:t>
            </w:r>
            <w:r w:rsidR="00F8177B" w:rsidRPr="005C2991">
              <w:rPr>
                <w:rFonts w:cstheme="minorHAnsi"/>
              </w:rPr>
              <w:t>en tant qu’INS » amènent quelques questions :</w:t>
            </w:r>
          </w:p>
          <w:p w:rsidR="00F8177B" w:rsidRPr="005C2991" w:rsidRDefault="00F8177B" w:rsidP="008745FE">
            <w:pPr>
              <w:pStyle w:val="Paragraphedeliste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91">
              <w:rPr>
                <w:rFonts w:cstheme="minorHAnsi"/>
              </w:rPr>
              <w:t>La fiabilité de l’information obtenue varie selon les supports</w:t>
            </w:r>
            <w:r w:rsidR="00050FAE" w:rsidRPr="005C2991">
              <w:rPr>
                <w:rFonts w:cstheme="minorHAnsi"/>
              </w:rPr>
              <w:t xml:space="preserve"> (ex : aucune exigence de contrôle de la validité de la carte Vitale n’est posée)</w:t>
            </w:r>
          </w:p>
          <w:p w:rsidR="00F8177B" w:rsidRPr="005C2991" w:rsidRDefault="00F8177B" w:rsidP="008745FE">
            <w:pPr>
              <w:pStyle w:val="Paragraphedeliste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91">
              <w:rPr>
                <w:rFonts w:cstheme="minorHAnsi"/>
              </w:rPr>
              <w:t xml:space="preserve">Les formats des traits d’identité pourraient varier selon les sources (on ne sait pas, le document ne donne pas </w:t>
            </w:r>
            <w:r w:rsidR="00050FAE" w:rsidRPr="005C2991">
              <w:rPr>
                <w:rFonts w:cstheme="minorHAnsi"/>
              </w:rPr>
              <w:t>de détail</w:t>
            </w:r>
            <w:r w:rsidRPr="005C2991">
              <w:rPr>
                <w:rFonts w:cstheme="minorHAnsi"/>
              </w:rPr>
              <w:t>)</w:t>
            </w:r>
          </w:p>
          <w:p w:rsidR="00050FAE" w:rsidRPr="005C2991" w:rsidRDefault="00050FAE" w:rsidP="008745FE">
            <w:pPr>
              <w:pStyle w:val="Paragraphedeliste"/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91">
              <w:rPr>
                <w:rFonts w:cstheme="minorHAnsi"/>
              </w:rPr>
              <w:t>Un établissement pourrait souhaiter réutiliser les NIR et autres données (fiables) déjà présents dans ses logiciels pour interroger le téléservice INS : le document n’évoque pas cette possibilité, voire souhaite l’exclure ?</w:t>
            </w:r>
          </w:p>
        </w:tc>
      </w:tr>
      <w:tr w:rsidR="000526F5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0526F5" w:rsidRPr="008745FE" w:rsidRDefault="00F8177B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  <w:color w:val="365F91"/>
              </w:rPr>
              <w:t>1.7.2. Au niveau technique</w:t>
            </w:r>
          </w:p>
          <w:p w:rsidR="00F8177B" w:rsidRPr="008745FE" w:rsidRDefault="00F8177B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…</w:t>
            </w:r>
          </w:p>
          <w:p w:rsidR="00F8177B" w:rsidRPr="008745FE" w:rsidRDefault="00F8177B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Possibilité, sans obligation, de remplacer les champs existants dans les SIS</w:t>
            </w:r>
            <w:r w:rsidR="00050FAE" w:rsidRPr="008745FE">
              <w:rPr>
                <w:rFonts w:cstheme="minorHAnsi"/>
                <w:b w:val="0"/>
              </w:rPr>
              <w:t> </w:t>
            </w:r>
            <w:r w:rsidRPr="008745FE">
              <w:rPr>
                <w:rFonts w:cstheme="minorHAnsi"/>
                <w:b w:val="0"/>
              </w:rPr>
              <w:t>:</w:t>
            </w:r>
          </w:p>
          <w:p w:rsidR="00F8177B" w:rsidRPr="008745FE" w:rsidRDefault="00F8177B" w:rsidP="008745FE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L’INS peut remplacer l’identifiant local, dit l’IPP local.</w:t>
            </w:r>
          </w:p>
        </w:tc>
        <w:tc>
          <w:tcPr>
            <w:tcW w:w="8079" w:type="dxa"/>
            <w:vAlign w:val="center"/>
          </w:tcPr>
          <w:p w:rsidR="008745FE" w:rsidRDefault="008745FE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Cette formulation, dans le référentiel, peut prêter à interprétation.</w:t>
            </w:r>
          </w:p>
          <w:p w:rsidR="003F6D44" w:rsidRPr="008745FE" w:rsidRDefault="008745FE" w:rsidP="003F6D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 xml:space="preserve">Elle </w:t>
            </w:r>
            <w:r w:rsidR="005C2991">
              <w:rPr>
                <w:rFonts w:cstheme="minorHAnsi"/>
              </w:rPr>
              <w:t xml:space="preserve">pourrait </w:t>
            </w:r>
            <w:r w:rsidR="003F6D44">
              <w:rPr>
                <w:rFonts w:cstheme="minorHAnsi"/>
              </w:rPr>
              <w:t xml:space="preserve">même </w:t>
            </w:r>
            <w:r w:rsidR="005C2991">
              <w:rPr>
                <w:rFonts w:cstheme="minorHAnsi"/>
              </w:rPr>
              <w:t xml:space="preserve">apparaître </w:t>
            </w:r>
            <w:r w:rsidRPr="008745FE">
              <w:rPr>
                <w:rFonts w:cstheme="minorHAnsi"/>
              </w:rPr>
              <w:t>contradictoire avec l’obligation réglementaire d’utiliser l’INS et de ne plus utiliser d’identifiant local (sans oublier l’unicité de l’identifiant dans le cas des GHT).</w:t>
            </w:r>
          </w:p>
        </w:tc>
      </w:tr>
      <w:tr w:rsidR="000526F5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D31757" w:rsidRPr="008745FE" w:rsidRDefault="00D31757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  <w:color w:val="365F91"/>
              </w:rPr>
              <w:lastRenderedPageBreak/>
              <w:t>1.7.2. Au niveau technique</w:t>
            </w:r>
          </w:p>
          <w:p w:rsidR="00D31757" w:rsidRPr="008745FE" w:rsidRDefault="00D31757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…</w:t>
            </w:r>
          </w:p>
          <w:p w:rsidR="00D31757" w:rsidRPr="008745FE" w:rsidRDefault="00D31757" w:rsidP="00A50449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Pas d’obligation de déclaration CNIL.</w:t>
            </w:r>
          </w:p>
        </w:tc>
        <w:tc>
          <w:tcPr>
            <w:tcW w:w="8079" w:type="dxa"/>
            <w:vAlign w:val="center"/>
          </w:tcPr>
          <w:p w:rsidR="000526F5" w:rsidRPr="008745FE" w:rsidRDefault="00D31757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Oui, pour le référencement</w:t>
            </w:r>
            <w:r w:rsidR="00E575DB">
              <w:rPr>
                <w:rFonts w:cstheme="minorHAnsi"/>
              </w:rPr>
              <w:t xml:space="preserve"> INS</w:t>
            </w:r>
            <w:r w:rsidRPr="008745FE">
              <w:rPr>
                <w:rFonts w:cstheme="minorHAnsi"/>
              </w:rPr>
              <w:t>.</w:t>
            </w:r>
          </w:p>
          <w:p w:rsidR="00D31757" w:rsidRPr="008745FE" w:rsidRDefault="00E575DB" w:rsidP="00E575D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Pour les autres traitements, l</w:t>
            </w:r>
            <w:r w:rsidR="00D31757" w:rsidRPr="008745FE">
              <w:rPr>
                <w:rFonts w:cstheme="minorHAnsi"/>
              </w:rPr>
              <w:t>es établissements sont toujours soumis aux obligations I&amp;L</w:t>
            </w:r>
            <w:r>
              <w:rPr>
                <w:rFonts w:cstheme="minorHAnsi"/>
              </w:rPr>
              <w:t xml:space="preserve"> </w:t>
            </w:r>
            <w:r w:rsidR="00D31757" w:rsidRPr="008745FE">
              <w:rPr>
                <w:rFonts w:cstheme="minorHAnsi"/>
              </w:rPr>
              <w:t>(actuelles</w:t>
            </w:r>
            <w:r w:rsidR="008745FE" w:rsidRPr="008745FE">
              <w:rPr>
                <w:rFonts w:cstheme="minorHAnsi"/>
              </w:rPr>
              <w:t xml:space="preserve">, </w:t>
            </w:r>
            <w:r w:rsidR="00D31757" w:rsidRPr="008745FE">
              <w:rPr>
                <w:rFonts w:cstheme="minorHAnsi"/>
              </w:rPr>
              <w:t>modifiées dans la future loi conformément au RGPD).</w:t>
            </w:r>
          </w:p>
        </w:tc>
      </w:tr>
      <w:tr w:rsidR="000526F5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D31757" w:rsidRPr="008745FE" w:rsidRDefault="00D31757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  <w:color w:val="365F91"/>
              </w:rPr>
              <w:t>1.7.2. Au niveau technique</w:t>
            </w:r>
          </w:p>
          <w:p w:rsidR="00D31757" w:rsidRPr="008745FE" w:rsidRDefault="00D31757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…</w:t>
            </w:r>
          </w:p>
          <w:p w:rsidR="00D31757" w:rsidRPr="008745FE" w:rsidRDefault="00D31757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L’historique des INS d’une personne doit être conservé (conservation des INS éventuels successifs d’une personne, NIA puis NIR ou plus rarement changement de sexe).</w:t>
            </w:r>
          </w:p>
        </w:tc>
        <w:tc>
          <w:tcPr>
            <w:tcW w:w="8079" w:type="dxa"/>
            <w:vAlign w:val="center"/>
          </w:tcPr>
          <w:p w:rsidR="00E575DB" w:rsidRDefault="00D31757" w:rsidP="00A504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Il faut également prévoir le cas de changement de NIR du fait de modification à l’Etat Civil (donc dans le</w:t>
            </w:r>
            <w:r w:rsidR="00A50449">
              <w:rPr>
                <w:rFonts w:cstheme="minorHAnsi"/>
              </w:rPr>
              <w:t xml:space="preserve"> SNGI</w:t>
            </w:r>
            <w:r w:rsidRPr="008745FE">
              <w:rPr>
                <w:rFonts w:cstheme="minorHAnsi"/>
              </w:rPr>
              <w:t>).</w:t>
            </w:r>
          </w:p>
          <w:p w:rsidR="000526F5" w:rsidRPr="008745FE" w:rsidRDefault="002B4366" w:rsidP="00A5044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Le référentiel ne donne pas de règle de gestion sur ce point.</w:t>
            </w:r>
          </w:p>
        </w:tc>
      </w:tr>
      <w:tr w:rsidR="00BE57D4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BE57D4" w:rsidRPr="008745FE" w:rsidRDefault="00BE57D4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color w:val="365F91"/>
              </w:rPr>
              <w:t>1.7.3. Au niveau opérationnel</w:t>
            </w:r>
          </w:p>
          <w:p w:rsidR="00BE57D4" w:rsidRPr="008745FE" w:rsidRDefault="00BE57D4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…</w:t>
            </w:r>
          </w:p>
          <w:p w:rsidR="00BE57D4" w:rsidRPr="008745FE" w:rsidRDefault="00BE57D4" w:rsidP="008745FE">
            <w:pPr>
              <w:jc w:val="left"/>
              <w:rPr>
                <w:rFonts w:cstheme="minorHAnsi"/>
                <w:b w:val="0"/>
              </w:rPr>
            </w:pPr>
            <w:r w:rsidRPr="008745FE">
              <w:rPr>
                <w:rFonts w:cstheme="minorHAnsi"/>
                <w:b w:val="0"/>
              </w:rPr>
              <w:t>A période régulière (délai paramétrable par le responsable de traitement), lorsque l’usager se présente à l’accueil, les téléservices doivent être rappelés pour contrôler l’INS et les traits d’identité de l’usager.</w:t>
            </w:r>
          </w:p>
        </w:tc>
        <w:tc>
          <w:tcPr>
            <w:tcW w:w="8079" w:type="dxa"/>
            <w:vAlign w:val="center"/>
          </w:tcPr>
          <w:p w:rsidR="00BE57D4" w:rsidRPr="008745FE" w:rsidRDefault="00BE57D4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Le</w:t>
            </w:r>
            <w:r w:rsidR="00640A6D" w:rsidRPr="008745FE">
              <w:rPr>
                <w:rFonts w:cstheme="minorHAnsi"/>
              </w:rPr>
              <w:t xml:space="preserve"> référentiel indique que le</w:t>
            </w:r>
            <w:r w:rsidRPr="008745FE">
              <w:rPr>
                <w:rFonts w:cstheme="minorHAnsi"/>
              </w:rPr>
              <w:t>s téléservices INS sont interrogeables sans Carte Vitale</w:t>
            </w:r>
            <w:r w:rsidR="00640A6D" w:rsidRPr="008745FE">
              <w:rPr>
                <w:rFonts w:cstheme="minorHAnsi"/>
              </w:rPr>
              <w:t xml:space="preserve"> (donc en dehors de la présence du patient)</w:t>
            </w:r>
            <w:r w:rsidRPr="008745FE">
              <w:rPr>
                <w:rFonts w:cstheme="minorHAnsi"/>
              </w:rPr>
              <w:t>.</w:t>
            </w:r>
          </w:p>
          <w:p w:rsidR="00BE57D4" w:rsidRPr="008745FE" w:rsidRDefault="00BE57D4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On ne comprend pas alors la limitation donnée ici. Pourquoi ne pas autoriser un établissement à vérifier des INS, régulièrement ou pas, en dehors de la présence du patient ?</w:t>
            </w:r>
          </w:p>
          <w:p w:rsidR="00BE57D4" w:rsidRPr="008745FE" w:rsidRDefault="00BE57D4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E57D4" w:rsidRPr="008745FE" w:rsidRDefault="00BE57D4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 xml:space="preserve">De même, on </w:t>
            </w:r>
            <w:r w:rsidR="00640A6D" w:rsidRPr="008745FE">
              <w:rPr>
                <w:rFonts w:cstheme="minorHAnsi"/>
              </w:rPr>
              <w:t>comprend</w:t>
            </w:r>
            <w:r w:rsidRPr="008745FE">
              <w:rPr>
                <w:rFonts w:cstheme="minorHAnsi"/>
              </w:rPr>
              <w:t xml:space="preserve"> qu’un établissement peur récupérer des INS par interrogation des téléservices en dehors de la présence du patient (même si la lecture Vitale est indiqué comme « prioritaire »). Cela semble souhaitable car il existe de nombreux cas où un établissement pourra avoir besoin de </w:t>
            </w:r>
            <w:r w:rsidR="00640A6D" w:rsidRPr="008745FE">
              <w:rPr>
                <w:rFonts w:cstheme="minorHAnsi"/>
              </w:rPr>
              <w:t xml:space="preserve">connaître / vérifier </w:t>
            </w:r>
            <w:r w:rsidRPr="008745FE">
              <w:rPr>
                <w:rFonts w:cstheme="minorHAnsi"/>
              </w:rPr>
              <w:t xml:space="preserve">l’INS </w:t>
            </w:r>
            <w:r w:rsidR="00640A6D" w:rsidRPr="008745FE">
              <w:rPr>
                <w:rFonts w:cstheme="minorHAnsi"/>
              </w:rPr>
              <w:t xml:space="preserve">sans le patient </w:t>
            </w:r>
            <w:r w:rsidRPr="008745FE">
              <w:rPr>
                <w:rFonts w:cstheme="minorHAnsi"/>
              </w:rPr>
              <w:t xml:space="preserve">(ex : un CH en situation de recours, </w:t>
            </w:r>
            <w:r w:rsidR="00640A6D" w:rsidRPr="008745FE">
              <w:rPr>
                <w:rFonts w:cstheme="minorHAnsi"/>
              </w:rPr>
              <w:t xml:space="preserve">pour la </w:t>
            </w:r>
            <w:r w:rsidRPr="008745FE">
              <w:rPr>
                <w:rFonts w:cstheme="minorHAnsi"/>
              </w:rPr>
              <w:t>télémédecine, etc.)</w:t>
            </w:r>
            <w:r w:rsidR="00640A6D" w:rsidRPr="008745FE">
              <w:rPr>
                <w:rFonts w:cstheme="minorHAnsi"/>
              </w:rPr>
              <w:t>.</w:t>
            </w:r>
          </w:p>
          <w:p w:rsidR="00640A6D" w:rsidRPr="008745FE" w:rsidRDefault="00640A6D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E57D4" w:rsidRPr="008745FE" w:rsidRDefault="00640A6D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45FE">
              <w:rPr>
                <w:rFonts w:cstheme="minorHAnsi"/>
              </w:rPr>
              <w:t>Au final, on n’arrive pas bien à préciser les conditions d’utilisation du téléservice INS par un établissement et donc les modalités de déploiement de l’INS.</w:t>
            </w:r>
          </w:p>
          <w:p w:rsidR="00640A6D" w:rsidRPr="008745FE" w:rsidRDefault="00640A6D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40A6D" w:rsidRPr="008745FE" w:rsidRDefault="00640A6D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745FE">
              <w:rPr>
                <w:rFonts w:cstheme="minorHAnsi"/>
                <w:i/>
              </w:rPr>
              <w:t>Ce point rejoint en partie la question 7 dans le § Points durs.</w:t>
            </w:r>
          </w:p>
        </w:tc>
      </w:tr>
    </w:tbl>
    <w:p w:rsidR="00AA74DC" w:rsidRDefault="00AA74DC"/>
    <w:p w:rsidR="00AA74DC" w:rsidRDefault="00AA74DC">
      <w:pPr>
        <w:spacing w:after="160" w:line="259" w:lineRule="auto"/>
        <w:jc w:val="left"/>
      </w:pPr>
      <w:r>
        <w:br w:type="page"/>
      </w:r>
    </w:p>
    <w:p w:rsidR="00AA74DC" w:rsidRDefault="00AA74DC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5524"/>
        <w:gridCol w:w="8079"/>
      </w:tblGrid>
      <w:tr w:rsidR="00776D0C" w:rsidRPr="00776D0C" w:rsidTr="00776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776D0C" w:rsidRPr="00776D0C" w:rsidRDefault="00776D0C" w:rsidP="00776D0C">
            <w:pPr>
              <w:jc w:val="center"/>
              <w:rPr>
                <w:rFonts w:cstheme="minorHAnsi"/>
                <w:color w:val="000000" w:themeColor="text1"/>
              </w:rPr>
            </w:pPr>
            <w:r w:rsidRPr="00776D0C">
              <w:rPr>
                <w:rFonts w:cstheme="minorHAnsi"/>
                <w:color w:val="000000" w:themeColor="text1"/>
              </w:rPr>
              <w:t>THEME</w:t>
            </w:r>
          </w:p>
        </w:tc>
        <w:tc>
          <w:tcPr>
            <w:tcW w:w="8079" w:type="dxa"/>
            <w:vAlign w:val="center"/>
          </w:tcPr>
          <w:p w:rsidR="00776D0C" w:rsidRPr="00776D0C" w:rsidRDefault="00776D0C" w:rsidP="00776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776D0C">
              <w:rPr>
                <w:rFonts w:cstheme="minorHAnsi"/>
                <w:color w:val="000000" w:themeColor="text1"/>
              </w:rPr>
              <w:t>CONTRIBUTION</w:t>
            </w:r>
          </w:p>
        </w:tc>
      </w:tr>
      <w:tr w:rsidR="00AA74DC" w:rsidRPr="008745FE" w:rsidTr="001656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Default="00AA74DC" w:rsidP="00AA74DC">
            <w:pPr>
              <w:jc w:val="left"/>
              <w:rPr>
                <w:rFonts w:cstheme="minorHAnsi"/>
                <w:color w:val="365F91"/>
              </w:rPr>
            </w:pPr>
          </w:p>
          <w:p w:rsidR="00AA74DC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Pourriez-vous réfléchir aux réponses aux questions suivantes :</w:t>
            </w:r>
          </w:p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</w:p>
        </w:tc>
        <w:tc>
          <w:tcPr>
            <w:tcW w:w="8079" w:type="dxa"/>
            <w:vAlign w:val="center"/>
          </w:tcPr>
          <w:p w:rsidR="00AA74DC" w:rsidRPr="008745FE" w:rsidRDefault="00AA74DC" w:rsidP="001656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1. Quelles sont les données concernées par l’utilisation de l’INS ?</w:t>
            </w:r>
          </w:p>
        </w:tc>
        <w:tc>
          <w:tcPr>
            <w:tcW w:w="8079" w:type="dxa"/>
            <w:vAlign w:val="center"/>
          </w:tcPr>
          <w:p w:rsidR="0095659F" w:rsidRDefault="00776D0C" w:rsidP="00776D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 décret est clair : toutes les « données de santé » doivent être référencées par l’INS</w:t>
            </w:r>
            <w:r w:rsidR="0095659F">
              <w:rPr>
                <w:rFonts w:cstheme="minorHAnsi"/>
              </w:rPr>
              <w:t xml:space="preserve"> dès lors qu’on entre dans le cadre prévu par le décret (</w:t>
            </w:r>
            <w:r w:rsidR="0095659F">
              <w:rPr>
                <w:sz w:val="21"/>
                <w:szCs w:val="21"/>
              </w:rPr>
              <w:t>prise en charge à des fins sanitaires ou médico- sociales</w:t>
            </w:r>
            <w:r w:rsidR="0095659F">
              <w:rPr>
                <w:rFonts w:cstheme="minorHAnsi"/>
              </w:rPr>
              <w:t>) (</w:t>
            </w:r>
            <w:r w:rsidR="0095659F">
              <w:rPr>
                <w:sz w:val="21"/>
                <w:szCs w:val="21"/>
              </w:rPr>
              <w:t>acte diagnostique, thérapeutique, de prévention, de soulagement de la douleur, de compensation du handicap ou de prévention de la perte d’autonomie, ou d’interventions nécessaires à la coordination de plusieurs de ces actes)</w:t>
            </w:r>
            <w:r w:rsidR="0095659F">
              <w:rPr>
                <w:rFonts w:cstheme="minorHAnsi"/>
              </w:rPr>
              <w:t>. Donc pas pour la recherche</w:t>
            </w:r>
            <w:r w:rsidR="008853BB">
              <w:rPr>
                <w:rFonts w:cstheme="minorHAnsi"/>
              </w:rPr>
              <w:t xml:space="preserve"> (par exemple)</w:t>
            </w:r>
            <w:r w:rsidR="0095659F">
              <w:rPr>
                <w:rFonts w:cstheme="minorHAnsi"/>
              </w:rPr>
              <w:t>.</w:t>
            </w:r>
          </w:p>
          <w:p w:rsidR="0095659F" w:rsidRDefault="0095659F" w:rsidP="00776D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76D0C" w:rsidRPr="008745FE" w:rsidRDefault="00776D0C" w:rsidP="008853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 définition du donnée de santé est explicite avec le RGPD.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>
              <w:rPr>
                <w:rFonts w:cstheme="minorHAnsi"/>
                <w:color w:val="365F91"/>
              </w:rPr>
              <w:t>2</w:t>
            </w:r>
            <w:r w:rsidRPr="00AA74DC">
              <w:rPr>
                <w:rFonts w:cstheme="minorHAnsi"/>
                <w:color w:val="365F91"/>
              </w:rPr>
              <w:t>. Quels sont les professionnels concernés et ceux non concernés l’utilisation de l’INS ?</w:t>
            </w:r>
          </w:p>
        </w:tc>
        <w:tc>
          <w:tcPr>
            <w:tcW w:w="8079" w:type="dxa"/>
            <w:vAlign w:val="center"/>
          </w:tcPr>
          <w:p w:rsidR="0095659F" w:rsidRDefault="00776D0C" w:rsidP="009565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 décret est là aussi relativement clair, le référentiel explicite : sur ce qu’est une donnée de santé, sur les professionnels</w:t>
            </w:r>
            <w:r w:rsidR="0095659F">
              <w:rPr>
                <w:rFonts w:cstheme="minorHAnsi"/>
              </w:rPr>
              <w:t xml:space="preserve"> habilités à référencer des données avec l’INS (</w:t>
            </w:r>
            <w:r w:rsidR="0095659F">
              <w:rPr>
                <w:i/>
                <w:iCs/>
                <w:sz w:val="21"/>
                <w:szCs w:val="21"/>
              </w:rPr>
              <w:t>R. 1111-8-3)</w:t>
            </w:r>
            <w:r w:rsidR="0095659F">
              <w:rPr>
                <w:rFonts w:cstheme="minorHAnsi"/>
              </w:rPr>
              <w:t>.</w:t>
            </w:r>
          </w:p>
          <w:p w:rsidR="0095659F" w:rsidRPr="008745FE" w:rsidRDefault="0095659F" w:rsidP="009565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Une fois le référencement effectué, les utilisateurs autorisés du SI contenant les données référencées par l’INS (R1111-8-4 : </w:t>
            </w:r>
            <w:r>
              <w:t>finalité exclusivement sanitaire ou médico-sociale, y compris les fonctions nécessaires pour assurer le suivi social ou la gestion administrative des personnes prises en charge  +  conformité I&amp;L))</w:t>
            </w:r>
          </w:p>
        </w:tc>
      </w:tr>
      <w:tr w:rsidR="00AA74DC" w:rsidRPr="008745FE" w:rsidTr="003F6D44">
        <w:trPr>
          <w:cantSplit/>
        </w:trPr>
        <w:tc>
          <w:tcPr>
            <w:tcW w:w="5524" w:type="dxa"/>
            <w:vAlign w:val="center"/>
          </w:tcPr>
          <w:p w:rsidR="00AA74DC" w:rsidRPr="008745FE" w:rsidRDefault="00AA74DC" w:rsidP="00AA74DC">
            <w:pPr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3. Que signifie précisément « se servir » de l’INS ?</w:t>
            </w:r>
          </w:p>
        </w:tc>
        <w:tc>
          <w:tcPr>
            <w:tcW w:w="8079" w:type="dxa"/>
            <w:vAlign w:val="center"/>
          </w:tcPr>
          <w:p w:rsidR="00AA74DC" w:rsidRDefault="00776D0C" w:rsidP="008745F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Ce doit être précisé</w:t>
            </w:r>
            <w:r w:rsidR="0095659F">
              <w:rPr>
                <w:rFonts w:cstheme="minorHAnsi"/>
              </w:rPr>
              <w:t xml:space="preserve"> en effet</w:t>
            </w:r>
            <w:r>
              <w:rPr>
                <w:rFonts w:cstheme="minorHAnsi"/>
              </w:rPr>
              <w:t>.</w:t>
            </w:r>
          </w:p>
          <w:p w:rsidR="00776D0C" w:rsidRPr="008745FE" w:rsidRDefault="00776D0C" w:rsidP="0058157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 on se fie au décret</w:t>
            </w:r>
            <w:r w:rsidR="00581575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 xml:space="preserve">utiliser l’INS </w:t>
            </w:r>
            <w:r w:rsidR="0095659F">
              <w:rPr>
                <w:rFonts w:cstheme="minorHAnsi"/>
              </w:rPr>
              <w:t xml:space="preserve">pour référencer, c’est-à-dire </w:t>
            </w:r>
            <w:r>
              <w:rPr>
                <w:rFonts w:cstheme="minorHAnsi"/>
              </w:rPr>
              <w:t>comme identifiant</w:t>
            </w:r>
            <w:r w:rsidR="0095659F">
              <w:rPr>
                <w:rFonts w:cstheme="minorHAnsi"/>
              </w:rPr>
              <w:t xml:space="preserve"> pour </w:t>
            </w:r>
            <w:bookmarkStart w:id="0" w:name="_GoBack"/>
            <w:bookmarkEnd w:id="0"/>
            <w:r w:rsidR="0095659F">
              <w:rPr>
                <w:rFonts w:cstheme="minorHAnsi"/>
              </w:rPr>
              <w:t>accéder aux données</w:t>
            </w:r>
            <w:r w:rsidR="009D6DE7">
              <w:rPr>
                <w:rFonts w:cstheme="minorHAnsi"/>
              </w:rPr>
              <w:t xml:space="preserve"> (sauf impossibilité)</w:t>
            </w:r>
            <w:r>
              <w:rPr>
                <w:rFonts w:cstheme="minorHAnsi"/>
              </w:rPr>
              <w:t>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4. Comment utiliser l’INS à la fois pour les données de santé protégées par la loi et les données de soins ou sociales moins protégées ?</w:t>
            </w:r>
          </w:p>
        </w:tc>
        <w:tc>
          <w:tcPr>
            <w:tcW w:w="8079" w:type="dxa"/>
            <w:vAlign w:val="center"/>
          </w:tcPr>
          <w:p w:rsidR="001F1563" w:rsidRPr="008745FE" w:rsidRDefault="00776D0C" w:rsidP="009565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Dès lors qu’une donnée a le statut de donnée de santé (cf. définition RGPD / prochaine Loi I&amp;L) (cf. référentiel qui précise également ce point), elle a un statut juridique selon la finalité du traitement (soin, administration du soin, prise en charge</w:t>
            </w:r>
            <w:r w:rsidR="001F1563">
              <w:rPr>
                <w:rFonts w:cstheme="minorHAnsi"/>
              </w:rPr>
              <w:t>, etc.</w:t>
            </w:r>
            <w:r>
              <w:rPr>
                <w:rFonts w:cstheme="minorHAnsi"/>
              </w:rPr>
              <w:t>)</w:t>
            </w:r>
            <w:r w:rsidR="001F1563">
              <w:rPr>
                <w:rFonts w:cstheme="minorHAnsi"/>
              </w:rPr>
              <w:t xml:space="preserve">. Et l’INS doit être utilisé dès lors qu’on est sur une des finalités prévues au décret </w:t>
            </w:r>
            <w:r w:rsidR="0095659F">
              <w:rPr>
                <w:rFonts w:cstheme="minorHAnsi"/>
              </w:rPr>
              <w:t>(</w:t>
            </w:r>
            <w:r w:rsidR="0095659F">
              <w:rPr>
                <w:sz w:val="21"/>
                <w:szCs w:val="21"/>
              </w:rPr>
              <w:t>prise en charge à des fins sanitaires ou médico- sociales</w:t>
            </w:r>
            <w:r w:rsidR="0095659F">
              <w:rPr>
                <w:rFonts w:cstheme="minorHAnsi"/>
              </w:rPr>
              <w:t xml:space="preserve">) </w:t>
            </w:r>
            <w:r w:rsidR="001F1563">
              <w:rPr>
                <w:rFonts w:cstheme="minorHAnsi"/>
              </w:rPr>
              <w:t>(</w:t>
            </w:r>
            <w:r w:rsidR="001F1563">
              <w:rPr>
                <w:sz w:val="21"/>
                <w:szCs w:val="21"/>
              </w:rPr>
              <w:t>acte diagnostique, thérapeutique, de prévention, de soulagement de la douleur, de compensation du handicap ou de prévention de la perte d’autonomie, ou d’interventions nécessaires à la coordination de plusieurs de ces actes)</w:t>
            </w:r>
            <w:r w:rsidR="0095659F">
              <w:rPr>
                <w:rFonts w:cstheme="minorHAnsi"/>
              </w:rPr>
              <w:t>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5. Une utilisation « sous conditions » de l’INS est-elle envisageable voire nécessaire ?</w:t>
            </w:r>
          </w:p>
        </w:tc>
        <w:tc>
          <w:tcPr>
            <w:tcW w:w="8079" w:type="dxa"/>
            <w:vAlign w:val="center"/>
          </w:tcPr>
          <w:p w:rsidR="00AA74DC" w:rsidRPr="008745FE" w:rsidRDefault="00D2024C" w:rsidP="00D20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Les conditions sont celles du décret et reprises dans le référentiel : la finalité, les utilisateurs, la possibilité d’obtenir le NIR ou NIA.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lastRenderedPageBreak/>
              <w:t>6. Comment les acteurs du social (par exemple) peuvent-ils récupérer et saisir les données gérées au travers de l’INS, alors qu’ils n’ont pas toujours accès à la carte Vitale du patient ?</w:t>
            </w:r>
          </w:p>
        </w:tc>
        <w:tc>
          <w:tcPr>
            <w:tcW w:w="8079" w:type="dxa"/>
            <w:vAlign w:val="center"/>
          </w:tcPr>
          <w:p w:rsidR="00AA74DC" w:rsidRDefault="00D2024C" w:rsidP="00D20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Cette question se pose également pour les acteurs de soins : hôpital en situation de recours, télémédecine, laboratoire de biologie, etc.</w:t>
            </w:r>
          </w:p>
          <w:p w:rsidR="00D2024C" w:rsidRPr="008745FE" w:rsidRDefault="00D2024C" w:rsidP="00D20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Il serait certainement pertinent qu’un acteur puisse interroger le téléservice INS (le référentiel indique que le téléservice n’est pas sécurisé par la carte Vitale).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7. Que signifie object connecté non géré par l’ES ?</w:t>
            </w:r>
          </w:p>
        </w:tc>
        <w:tc>
          <w:tcPr>
            <w:tcW w:w="8079" w:type="dxa"/>
            <w:vAlign w:val="center"/>
          </w:tcPr>
          <w:p w:rsidR="00AA74DC" w:rsidRPr="008745FE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 équipement produisant des données (de santé), proposé par un fournisseur, sur lequel l’établissement n’a pas la main pour faire évoluer le logiciel.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8. En pratique, comment implémenter l’INS sur un objet connecté ? Carte vitale, accès aux téléservices…</w:t>
            </w:r>
          </w:p>
        </w:tc>
        <w:tc>
          <w:tcPr>
            <w:tcW w:w="8079" w:type="dxa"/>
            <w:vAlign w:val="center"/>
          </w:tcPr>
          <w:p w:rsidR="00AA74DC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Question à régler par le fournisseur.</w:t>
            </w:r>
          </w:p>
          <w:p w:rsidR="00DB3292" w:rsidRPr="008745FE" w:rsidRDefault="00DB3292" w:rsidP="00DB32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 un objet (ou une application) ne peut intégrer l’INS et doit malgré tout identifier le patient, il faut trouver un moyen de contournement (un « identifiant local » pour reprendre la terminologie de l’ASIP Santé).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AA74DC" w:rsidRDefault="00AA74DC" w:rsidP="00AA74DC">
            <w:pPr>
              <w:jc w:val="left"/>
              <w:rPr>
                <w:rFonts w:cstheme="minorHAnsi"/>
                <w:color w:val="365F91"/>
              </w:rPr>
            </w:pPr>
          </w:p>
          <w:p w:rsidR="00AA74DC" w:rsidRPr="00AA74DC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Les aspects juridiques :</w:t>
            </w:r>
          </w:p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</w:p>
        </w:tc>
        <w:tc>
          <w:tcPr>
            <w:tcW w:w="8079" w:type="dxa"/>
            <w:vAlign w:val="center"/>
          </w:tcPr>
          <w:p w:rsidR="00AA74DC" w:rsidRPr="008745FE" w:rsidRDefault="0000767A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9. Si les données ne sont pas stockées dans l’établissement, imposer d’être HDS ?</w:t>
            </w:r>
          </w:p>
        </w:tc>
        <w:tc>
          <w:tcPr>
            <w:tcW w:w="8079" w:type="dxa"/>
            <w:vAlign w:val="center"/>
          </w:tcPr>
          <w:p w:rsidR="00AA74DC" w:rsidRDefault="00D2024C" w:rsidP="00B462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HDS s’impose </w:t>
            </w:r>
            <w:r w:rsidR="00B46297">
              <w:rPr>
                <w:rFonts w:cstheme="minorHAnsi"/>
              </w:rPr>
              <w:t xml:space="preserve">pour un établissement </w:t>
            </w:r>
            <w:r>
              <w:rPr>
                <w:rFonts w:cstheme="minorHAnsi"/>
              </w:rPr>
              <w:t>en cas d’externalisation d’un SI ou en cas d’hébergement de données de patients pris en charge dans d’autres établissements (au sens entités juridiques différentes)</w:t>
            </w:r>
            <w:r w:rsidR="00B46297">
              <w:rPr>
                <w:rFonts w:cstheme="minorHAnsi"/>
              </w:rPr>
              <w:t>.</w:t>
            </w:r>
          </w:p>
          <w:p w:rsidR="00B46297" w:rsidRPr="008745FE" w:rsidRDefault="00B46297" w:rsidP="00B462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Une base contenant des identifiants de plusieurs établissements doit être hébergée en HDS.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10. Que faut-il imposer aux industriels fournisseurs d’objets connectés disposant de leur propres bdd ? Des déclarations CNIL ?</w:t>
            </w:r>
          </w:p>
        </w:tc>
        <w:tc>
          <w:tcPr>
            <w:tcW w:w="8079" w:type="dxa"/>
            <w:vAlign w:val="center"/>
          </w:tcPr>
          <w:p w:rsidR="00F1767C" w:rsidRDefault="00F1767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Implémenter l’INS</w:t>
            </w:r>
          </w:p>
          <w:p w:rsidR="00AA74DC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Conformité à RGPD / prochaine loi I&amp;L.</w:t>
            </w:r>
          </w:p>
          <w:p w:rsidR="00D2024C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HDS</w:t>
            </w:r>
            <w:r w:rsidR="00F1767C">
              <w:rPr>
                <w:rFonts w:cstheme="minorHAnsi"/>
              </w:rPr>
              <w:t xml:space="preserve"> si concernés</w:t>
            </w:r>
          </w:p>
          <w:p w:rsidR="00D2024C" w:rsidRDefault="00D2024C" w:rsidP="00D20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Conformité au cadre d’interopérabilité et référentiels de sécurité lorsqu’ils seront opposables</w:t>
            </w:r>
          </w:p>
          <w:p w:rsidR="00F1767C" w:rsidRPr="008745FE" w:rsidRDefault="00F1767C" w:rsidP="00D20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Etc.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11. Lien avec le RGDP ?</w:t>
            </w:r>
          </w:p>
        </w:tc>
        <w:tc>
          <w:tcPr>
            <w:tcW w:w="8079" w:type="dxa"/>
            <w:vAlign w:val="center"/>
          </w:tcPr>
          <w:p w:rsidR="00AA74DC" w:rsidRPr="008745FE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Tout traitement de donnée personnelle doit être conforme à I&amp;L actuellement, et devra l’être avec la prochaine loi I&amp;L qui sera votée pour reprendre et préciser le RGPD.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lastRenderedPageBreak/>
              <w:t>12. Faut-il un dispositif d’authentification forte pour récupérer l’INS du patient si l’on n’est pas professionnel de santé ?</w:t>
            </w:r>
          </w:p>
        </w:tc>
        <w:tc>
          <w:tcPr>
            <w:tcW w:w="8079" w:type="dxa"/>
            <w:vAlign w:val="center"/>
          </w:tcPr>
          <w:p w:rsidR="00B35B69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Les référentiels de l’ASIP Santé s’applique</w:t>
            </w:r>
            <w:r w:rsidR="00B35B69">
              <w:rPr>
                <w:rFonts w:cstheme="minorHAnsi"/>
              </w:rPr>
              <w:t>ro</w:t>
            </w:r>
            <w:r>
              <w:rPr>
                <w:rFonts w:cstheme="minorHAnsi"/>
              </w:rPr>
              <w:t xml:space="preserve">nt aux SI de santé et comme rappelé dans le référentiel imposeront (ils ne sont pas encore </w:t>
            </w:r>
            <w:r w:rsidR="00B35B69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opposables</w:t>
            </w:r>
            <w:r w:rsidR="00B35B69">
              <w:rPr>
                <w:rFonts w:cstheme="minorHAnsi"/>
              </w:rPr>
              <w:t> »</w:t>
            </w:r>
            <w:r>
              <w:rPr>
                <w:rFonts w:cstheme="minorHAnsi"/>
              </w:rPr>
              <w:t>)</w:t>
            </w:r>
            <w:r w:rsidR="00B35B6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B35B69">
              <w:rPr>
                <w:rFonts w:cstheme="minorHAnsi"/>
              </w:rPr>
              <w:t xml:space="preserve">pour l’authentification des accès des professionnels </w:t>
            </w:r>
            <w:r>
              <w:rPr>
                <w:rFonts w:cstheme="minorHAnsi"/>
              </w:rPr>
              <w:t>les paliers 2 ou 3 selon les cas (don</w:t>
            </w:r>
            <w:r w:rsidR="00B35B69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 authentification forte).</w:t>
            </w:r>
          </w:p>
          <w:p w:rsidR="00D2024C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 : est-ce </w:t>
            </w:r>
            <w:r w:rsidR="00B35B69">
              <w:rPr>
                <w:rFonts w:cstheme="minorHAnsi"/>
              </w:rPr>
              <w:t xml:space="preserve">toujours possible / </w:t>
            </w:r>
            <w:r>
              <w:rPr>
                <w:rFonts w:cstheme="minorHAnsi"/>
              </w:rPr>
              <w:t>réaliste dans l’état actuel des SI de santé ?</w:t>
            </w:r>
          </w:p>
          <w:p w:rsidR="00B35B69" w:rsidRDefault="00B35B69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2024C" w:rsidRPr="008745FE" w:rsidRDefault="00D2024C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 téléservice INS : en attente des spécifications</w:t>
            </w:r>
          </w:p>
        </w:tc>
      </w:tr>
      <w:tr w:rsidR="00AA74DC" w:rsidRPr="008745FE" w:rsidTr="003F6D4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AA74DC" w:rsidRPr="008745FE" w:rsidRDefault="00AA74DC" w:rsidP="00AA74DC">
            <w:pPr>
              <w:jc w:val="left"/>
              <w:rPr>
                <w:rFonts w:cstheme="minorHAnsi"/>
                <w:color w:val="365F91"/>
              </w:rPr>
            </w:pPr>
            <w:r w:rsidRPr="00AA74DC">
              <w:rPr>
                <w:rFonts w:cstheme="minorHAnsi"/>
                <w:color w:val="365F91"/>
              </w:rPr>
              <w:t>13. Quels sont les droits et possibilités offertes au patient pour l'accès à ses données ?</w:t>
            </w:r>
          </w:p>
        </w:tc>
        <w:tc>
          <w:tcPr>
            <w:tcW w:w="8079" w:type="dxa"/>
            <w:vAlign w:val="center"/>
          </w:tcPr>
          <w:p w:rsidR="00AA74DC" w:rsidRDefault="00733AB2" w:rsidP="008745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Rien de changé</w:t>
            </w:r>
            <w:r w:rsidR="00D2024C">
              <w:rPr>
                <w:rFonts w:cstheme="minorHAnsi"/>
              </w:rPr>
              <w:t xml:space="preserve"> avec la </w:t>
            </w:r>
            <w:r>
              <w:rPr>
                <w:rFonts w:cstheme="minorHAnsi"/>
              </w:rPr>
              <w:t xml:space="preserve">loi I&amp;L </w:t>
            </w:r>
            <w:r w:rsidR="00D2024C">
              <w:rPr>
                <w:rFonts w:cstheme="minorHAnsi"/>
              </w:rPr>
              <w:t>actuelle : droit d’accès, rectification…</w:t>
            </w:r>
          </w:p>
          <w:p w:rsidR="00733AB2" w:rsidRDefault="00733AB2" w:rsidP="00733A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2024C" w:rsidRPr="008745FE" w:rsidRDefault="00D2024C" w:rsidP="00733A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 prochaine loi I</w:t>
            </w:r>
            <w:r w:rsidR="00733AB2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L, qui reprendra le RGPD, va ajouter des droits </w:t>
            </w:r>
            <w:r w:rsidR="00733AB2">
              <w:rPr>
                <w:rFonts w:cstheme="minorHAnsi"/>
              </w:rPr>
              <w:t>pour les</w:t>
            </w:r>
            <w:r>
              <w:rPr>
                <w:rFonts w:cstheme="minorHAnsi"/>
              </w:rPr>
              <w:t xml:space="preserve"> citoyens (donc aux patients) : oubli, portabilité, etc.</w:t>
            </w:r>
          </w:p>
        </w:tc>
      </w:tr>
    </w:tbl>
    <w:p w:rsidR="001227E8" w:rsidRDefault="001227E8" w:rsidP="00B67053"/>
    <w:sectPr w:rsidR="001227E8" w:rsidSect="000526F5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A6" w:rsidRDefault="00C75BA6" w:rsidP="00C75680">
      <w:r>
        <w:separator/>
      </w:r>
    </w:p>
  </w:endnote>
  <w:endnote w:type="continuationSeparator" w:id="0">
    <w:p w:rsidR="00C75BA6" w:rsidRDefault="00C75BA6" w:rsidP="00C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A6" w:rsidRDefault="00C75BA6" w:rsidP="00C75680">
      <w:r>
        <w:separator/>
      </w:r>
    </w:p>
  </w:footnote>
  <w:footnote w:type="continuationSeparator" w:id="0">
    <w:p w:rsidR="00C75BA6" w:rsidRDefault="00C75BA6" w:rsidP="00C7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B3C"/>
    <w:multiLevelType w:val="hybridMultilevel"/>
    <w:tmpl w:val="41083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525"/>
    <w:multiLevelType w:val="hybridMultilevel"/>
    <w:tmpl w:val="914216AE"/>
    <w:lvl w:ilvl="0" w:tplc="E57A19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41E"/>
    <w:multiLevelType w:val="hybridMultilevel"/>
    <w:tmpl w:val="045A3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BD0"/>
    <w:multiLevelType w:val="hybridMultilevel"/>
    <w:tmpl w:val="1FC8A590"/>
    <w:lvl w:ilvl="0" w:tplc="91143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714"/>
    <w:multiLevelType w:val="hybridMultilevel"/>
    <w:tmpl w:val="161CB590"/>
    <w:lvl w:ilvl="0" w:tplc="4FCA6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C8B"/>
    <w:multiLevelType w:val="hybridMultilevel"/>
    <w:tmpl w:val="B2D2C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15129"/>
    <w:multiLevelType w:val="hybridMultilevel"/>
    <w:tmpl w:val="A4B6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616"/>
    <w:multiLevelType w:val="hybridMultilevel"/>
    <w:tmpl w:val="C590B23C"/>
    <w:lvl w:ilvl="0" w:tplc="91143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08BE"/>
    <w:multiLevelType w:val="hybridMultilevel"/>
    <w:tmpl w:val="AFCCB634"/>
    <w:lvl w:ilvl="0" w:tplc="4FCA697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8039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760C88"/>
    <w:multiLevelType w:val="hybridMultilevel"/>
    <w:tmpl w:val="E4A08E0C"/>
    <w:lvl w:ilvl="0" w:tplc="237464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16324"/>
    <w:multiLevelType w:val="hybridMultilevel"/>
    <w:tmpl w:val="6C321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7BF8"/>
    <w:multiLevelType w:val="hybridMultilevel"/>
    <w:tmpl w:val="2D76984A"/>
    <w:lvl w:ilvl="0" w:tplc="C15A0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1D4D"/>
    <w:multiLevelType w:val="hybridMultilevel"/>
    <w:tmpl w:val="B712C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2827"/>
    <w:multiLevelType w:val="hybridMultilevel"/>
    <w:tmpl w:val="427ABFB4"/>
    <w:lvl w:ilvl="0" w:tplc="91143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45D4"/>
    <w:multiLevelType w:val="hybridMultilevel"/>
    <w:tmpl w:val="22FC83A8"/>
    <w:lvl w:ilvl="0" w:tplc="91143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A7"/>
    <w:multiLevelType w:val="hybridMultilevel"/>
    <w:tmpl w:val="2BB62AE8"/>
    <w:lvl w:ilvl="0" w:tplc="4FCA6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258"/>
    <w:multiLevelType w:val="hybridMultilevel"/>
    <w:tmpl w:val="6854B664"/>
    <w:lvl w:ilvl="0" w:tplc="7DF001C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C2FE0"/>
    <w:multiLevelType w:val="hybridMultilevel"/>
    <w:tmpl w:val="90300C1C"/>
    <w:lvl w:ilvl="0" w:tplc="E57A19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200FE"/>
    <w:multiLevelType w:val="hybridMultilevel"/>
    <w:tmpl w:val="6212E422"/>
    <w:lvl w:ilvl="0" w:tplc="4FCA6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2E25"/>
    <w:multiLevelType w:val="hybridMultilevel"/>
    <w:tmpl w:val="8578E1F0"/>
    <w:lvl w:ilvl="0" w:tplc="E57A195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F4DCD"/>
    <w:multiLevelType w:val="hybridMultilevel"/>
    <w:tmpl w:val="1AAC88DC"/>
    <w:lvl w:ilvl="0" w:tplc="CA666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8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20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5"/>
  </w:num>
  <w:num w:numId="17">
    <w:abstractNumId w:val="11"/>
  </w:num>
  <w:num w:numId="18">
    <w:abstractNumId w:val="0"/>
  </w:num>
  <w:num w:numId="19">
    <w:abstractNumId w:val="19"/>
  </w:num>
  <w:num w:numId="20">
    <w:abstractNumId w:val="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4"/>
    <w:rsid w:val="0000767A"/>
    <w:rsid w:val="000154A4"/>
    <w:rsid w:val="00050FAE"/>
    <w:rsid w:val="000526F5"/>
    <w:rsid w:val="000876E3"/>
    <w:rsid w:val="000A1BEE"/>
    <w:rsid w:val="000A65C5"/>
    <w:rsid w:val="000B719A"/>
    <w:rsid w:val="000C6AA2"/>
    <w:rsid w:val="000E445C"/>
    <w:rsid w:val="001227E8"/>
    <w:rsid w:val="0012645D"/>
    <w:rsid w:val="001A3B9B"/>
    <w:rsid w:val="001A7715"/>
    <w:rsid w:val="001F1563"/>
    <w:rsid w:val="00205AC0"/>
    <w:rsid w:val="0022029A"/>
    <w:rsid w:val="002B4366"/>
    <w:rsid w:val="002E6B52"/>
    <w:rsid w:val="0038025C"/>
    <w:rsid w:val="003C177B"/>
    <w:rsid w:val="003D059E"/>
    <w:rsid w:val="003D7B17"/>
    <w:rsid w:val="003F6D44"/>
    <w:rsid w:val="00417FC3"/>
    <w:rsid w:val="004A3C49"/>
    <w:rsid w:val="004C649E"/>
    <w:rsid w:val="004C72CE"/>
    <w:rsid w:val="004F7DF4"/>
    <w:rsid w:val="005500ED"/>
    <w:rsid w:val="00581575"/>
    <w:rsid w:val="005B5FFA"/>
    <w:rsid w:val="005C2991"/>
    <w:rsid w:val="005F39F0"/>
    <w:rsid w:val="00640A6D"/>
    <w:rsid w:val="00664A32"/>
    <w:rsid w:val="006704F9"/>
    <w:rsid w:val="00672291"/>
    <w:rsid w:val="00680B7E"/>
    <w:rsid w:val="00716246"/>
    <w:rsid w:val="00724890"/>
    <w:rsid w:val="00733AB2"/>
    <w:rsid w:val="00771F6E"/>
    <w:rsid w:val="00776D0C"/>
    <w:rsid w:val="00794C28"/>
    <w:rsid w:val="007B61E7"/>
    <w:rsid w:val="008038BD"/>
    <w:rsid w:val="0084668E"/>
    <w:rsid w:val="00860837"/>
    <w:rsid w:val="008745FE"/>
    <w:rsid w:val="008853BB"/>
    <w:rsid w:val="008919AF"/>
    <w:rsid w:val="00907B99"/>
    <w:rsid w:val="009136AC"/>
    <w:rsid w:val="00935CED"/>
    <w:rsid w:val="0095659F"/>
    <w:rsid w:val="009762F7"/>
    <w:rsid w:val="009B6CD7"/>
    <w:rsid w:val="009D2042"/>
    <w:rsid w:val="009D6DE7"/>
    <w:rsid w:val="009E5337"/>
    <w:rsid w:val="00A3620F"/>
    <w:rsid w:val="00A50449"/>
    <w:rsid w:val="00AA4312"/>
    <w:rsid w:val="00AA74DC"/>
    <w:rsid w:val="00AC3747"/>
    <w:rsid w:val="00B0133C"/>
    <w:rsid w:val="00B20E23"/>
    <w:rsid w:val="00B35B69"/>
    <w:rsid w:val="00B46297"/>
    <w:rsid w:val="00B57A02"/>
    <w:rsid w:val="00B67053"/>
    <w:rsid w:val="00B74732"/>
    <w:rsid w:val="00BA0347"/>
    <w:rsid w:val="00BD2730"/>
    <w:rsid w:val="00BE57D4"/>
    <w:rsid w:val="00C41A61"/>
    <w:rsid w:val="00C65A8C"/>
    <w:rsid w:val="00C75680"/>
    <w:rsid w:val="00C75BA6"/>
    <w:rsid w:val="00D06A4F"/>
    <w:rsid w:val="00D17D73"/>
    <w:rsid w:val="00D2024C"/>
    <w:rsid w:val="00D31757"/>
    <w:rsid w:val="00D36463"/>
    <w:rsid w:val="00D41BA5"/>
    <w:rsid w:val="00D52599"/>
    <w:rsid w:val="00D546A4"/>
    <w:rsid w:val="00D86AFE"/>
    <w:rsid w:val="00DA406F"/>
    <w:rsid w:val="00DB3292"/>
    <w:rsid w:val="00DC40E0"/>
    <w:rsid w:val="00E575DB"/>
    <w:rsid w:val="00E746C4"/>
    <w:rsid w:val="00E85783"/>
    <w:rsid w:val="00ED0A37"/>
    <w:rsid w:val="00EE3703"/>
    <w:rsid w:val="00F1767C"/>
    <w:rsid w:val="00F8177B"/>
    <w:rsid w:val="00F84BDB"/>
    <w:rsid w:val="00FA343D"/>
    <w:rsid w:val="00FC2718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207CA8"/>
  <w15:chartTrackingRefBased/>
  <w15:docId w15:val="{EAB76125-8BC7-4F87-A95B-113C02A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6F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75680"/>
    <w:pPr>
      <w:keepNext/>
      <w:keepLines/>
      <w:numPr>
        <w:numId w:val="2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5680"/>
    <w:pPr>
      <w:keepNext/>
      <w:keepLines/>
      <w:numPr>
        <w:ilvl w:val="1"/>
        <w:numId w:val="2"/>
      </w:numPr>
      <w:spacing w:before="40" w:after="120"/>
      <w:ind w:left="578" w:hanging="578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406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406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406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406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406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406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406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7568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A406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7568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A4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A40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40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40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A40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A4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A4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136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36A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1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2029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029A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5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680"/>
  </w:style>
  <w:style w:type="paragraph" w:styleId="Pieddepage">
    <w:name w:val="footer"/>
    <w:basedOn w:val="Normal"/>
    <w:link w:val="PieddepageCar"/>
    <w:uiPriority w:val="99"/>
    <w:unhideWhenUsed/>
    <w:rsid w:val="00C75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680"/>
  </w:style>
  <w:style w:type="paragraph" w:styleId="En-ttedetabledesmatires">
    <w:name w:val="TOC Heading"/>
    <w:basedOn w:val="Titre1"/>
    <w:next w:val="Normal"/>
    <w:uiPriority w:val="39"/>
    <w:unhideWhenUsed/>
    <w:qFormat/>
    <w:rsid w:val="00C75680"/>
    <w:pPr>
      <w:numPr>
        <w:numId w:val="0"/>
      </w:num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7568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5680"/>
    <w:pPr>
      <w:spacing w:after="100"/>
      <w:ind w:left="220"/>
    </w:pPr>
  </w:style>
  <w:style w:type="table" w:styleId="TableauGrille1Clair-Accentuation1">
    <w:name w:val="Grid Table 1 Light Accent 1"/>
    <w:basedOn w:val="TableauNormal"/>
    <w:uiPriority w:val="46"/>
    <w:rsid w:val="000526F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97483-CFAE-4D96-B012-880E3B68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lecture</vt:lpstr>
    </vt:vector>
  </TitlesOfParts>
  <Company>MiPih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lecture</dc:title>
  <dc:subject>Référentiel Identifiant National de Santé Version 0.9 – Février 2017</dc:subject>
  <dc:creator>MiPih</dc:creator>
  <cp:keywords/>
  <dc:description/>
  <cp:lastModifiedBy>BEDERE Philippe</cp:lastModifiedBy>
  <cp:revision>78</cp:revision>
  <dcterms:created xsi:type="dcterms:W3CDTF">2018-02-03T07:04:00Z</dcterms:created>
  <dcterms:modified xsi:type="dcterms:W3CDTF">2018-02-15T12:53:00Z</dcterms:modified>
</cp:coreProperties>
</file>